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ECD3" w14:textId="77777777" w:rsidR="005C3B75" w:rsidRPr="001F35AF" w:rsidRDefault="005C3B75" w:rsidP="005C3B75">
      <w:pPr>
        <w:autoSpaceDE w:val="0"/>
        <w:autoSpaceDN w:val="0"/>
        <w:adjustRightInd w:val="0"/>
        <w:jc w:val="center"/>
        <w:rPr>
          <w:i/>
          <w:iCs/>
          <w:color w:val="201F1E"/>
          <w:lang w:val="es"/>
        </w:rPr>
      </w:pPr>
      <w:r w:rsidRPr="001F35AF">
        <w:rPr>
          <w:i/>
          <w:iCs/>
          <w:color w:val="201F1E"/>
          <w:lang w:val="es"/>
        </w:rPr>
        <w:t>Comunicación al II Congreso Internacional sobre Vulnerabilidad y Cultura Digital</w:t>
      </w:r>
    </w:p>
    <w:p w14:paraId="29753193" w14:textId="77777777" w:rsidR="005C3B75" w:rsidRDefault="005C3B75" w:rsidP="005C3B75">
      <w:pPr>
        <w:autoSpaceDE w:val="0"/>
        <w:autoSpaceDN w:val="0"/>
        <w:adjustRightInd w:val="0"/>
        <w:jc w:val="center"/>
        <w:rPr>
          <w:color w:val="201F1E"/>
          <w:lang w:val="es"/>
        </w:rPr>
      </w:pPr>
    </w:p>
    <w:p w14:paraId="0FFB8A47" w14:textId="23F65F67" w:rsidR="005C3B75" w:rsidRDefault="005C3B75" w:rsidP="005C3B75">
      <w:pPr>
        <w:autoSpaceDE w:val="0"/>
        <w:autoSpaceDN w:val="0"/>
        <w:adjustRightInd w:val="0"/>
        <w:jc w:val="center"/>
        <w:rPr>
          <w:color w:val="201F1E"/>
          <w:lang w:val="es"/>
        </w:rPr>
      </w:pPr>
      <w:r w:rsidRPr="001F35AF">
        <w:rPr>
          <w:color w:val="201F1E"/>
          <w:lang w:val="es"/>
        </w:rPr>
        <w:t>PANEL 01</w:t>
      </w:r>
      <w:r>
        <w:rPr>
          <w:color w:val="201F1E"/>
          <w:lang w:val="es"/>
        </w:rPr>
        <w:t xml:space="preserve">: </w:t>
      </w:r>
      <w:r w:rsidRPr="001F35AF">
        <w:rPr>
          <w:color w:val="201F1E"/>
          <w:lang w:val="es"/>
        </w:rPr>
        <w:t xml:space="preserve">Desinformación y democracia. Daños colaterales de las </w:t>
      </w:r>
      <w:proofErr w:type="spellStart"/>
      <w:proofErr w:type="gramStart"/>
      <w:r w:rsidRPr="001F35AF">
        <w:rPr>
          <w:color w:val="201F1E"/>
          <w:lang w:val="es"/>
        </w:rPr>
        <w:t>fake</w:t>
      </w:r>
      <w:proofErr w:type="spellEnd"/>
      <w:r w:rsidRPr="001F35AF">
        <w:rPr>
          <w:color w:val="201F1E"/>
          <w:lang w:val="es"/>
        </w:rPr>
        <w:t xml:space="preserve"> </w:t>
      </w:r>
      <w:proofErr w:type="spellStart"/>
      <w:r w:rsidRPr="001F35AF">
        <w:rPr>
          <w:color w:val="201F1E"/>
          <w:lang w:val="es"/>
        </w:rPr>
        <w:t>news</w:t>
      </w:r>
      <w:proofErr w:type="spellEnd"/>
      <w:proofErr w:type="gramEnd"/>
    </w:p>
    <w:p w14:paraId="3FF49046" w14:textId="77777777" w:rsidR="005C3B75" w:rsidRDefault="005C3B75" w:rsidP="005C3B75">
      <w:pPr>
        <w:autoSpaceDE w:val="0"/>
        <w:autoSpaceDN w:val="0"/>
        <w:adjustRightInd w:val="0"/>
        <w:jc w:val="both"/>
        <w:rPr>
          <w:color w:val="201F1E"/>
          <w:lang w:val="es"/>
        </w:rPr>
      </w:pPr>
    </w:p>
    <w:p w14:paraId="2E02ECDD" w14:textId="77777777" w:rsidR="005C3B75" w:rsidRPr="005C3B75" w:rsidRDefault="005C3B75" w:rsidP="005C3B75">
      <w:pPr>
        <w:autoSpaceDE w:val="0"/>
        <w:autoSpaceDN w:val="0"/>
        <w:adjustRightInd w:val="0"/>
        <w:jc w:val="center"/>
        <w:rPr>
          <w:b/>
          <w:bCs/>
          <w:color w:val="201F1E"/>
          <w:sz w:val="28"/>
          <w:szCs w:val="28"/>
          <w:lang w:val="es"/>
        </w:rPr>
      </w:pPr>
      <w:r w:rsidRPr="005C3B75">
        <w:rPr>
          <w:b/>
          <w:bCs/>
          <w:color w:val="201F1E"/>
          <w:sz w:val="28"/>
          <w:szCs w:val="28"/>
          <w:lang w:val="es"/>
        </w:rPr>
        <w:t>Las Teorías de los Medios en los Juegos de Alfabetización Informativa</w:t>
      </w:r>
    </w:p>
    <w:p w14:paraId="35E1AEFD" w14:textId="77777777" w:rsidR="005C3B75" w:rsidRPr="005C3B75" w:rsidRDefault="005C3B75" w:rsidP="005C3B75">
      <w:pPr>
        <w:autoSpaceDE w:val="0"/>
        <w:autoSpaceDN w:val="0"/>
        <w:adjustRightInd w:val="0"/>
        <w:jc w:val="center"/>
        <w:rPr>
          <w:rFonts w:ascii="CIDFont+F2" w:hAnsi="CIDFont+F2" w:cs="CIDFont+F2"/>
          <w:b/>
          <w:bCs/>
          <w:color w:val="201F1E"/>
          <w:sz w:val="26"/>
          <w:szCs w:val="26"/>
          <w:lang w:val="es"/>
        </w:rPr>
      </w:pPr>
    </w:p>
    <w:p w14:paraId="00009886" w14:textId="20BB9F52" w:rsidR="005C3B75" w:rsidRDefault="005C3B75" w:rsidP="005C3B75">
      <w:pPr>
        <w:autoSpaceDE w:val="0"/>
        <w:autoSpaceDN w:val="0"/>
        <w:adjustRightInd w:val="0"/>
        <w:jc w:val="center"/>
        <w:rPr>
          <w:rFonts w:ascii="CIDFont+F3" w:hAnsi="CIDFont+F3" w:cs="CIDFont+F3"/>
          <w:bCs/>
          <w:color w:val="201F1E"/>
          <w:sz w:val="26"/>
          <w:szCs w:val="26"/>
          <w:lang w:val="es-ES"/>
        </w:rPr>
      </w:pPr>
      <w:r>
        <w:rPr>
          <w:rFonts w:ascii="CIDFont+F3" w:hAnsi="CIDFont+F3" w:cs="CIDFont+F3"/>
          <w:bCs/>
          <w:color w:val="201F1E"/>
          <w:sz w:val="26"/>
          <w:szCs w:val="26"/>
          <w:lang w:val="es-ES"/>
        </w:rPr>
        <w:t>Salvador Gómez-García, Universidad de Valladolid (España); Raquel Quevedo-Redondo, Universidad de Valladolid (España); Nuria Navarro Sierra, Universidad Rey Juan Carlos (España)</w:t>
      </w:r>
    </w:p>
    <w:p w14:paraId="7A683A2F" w14:textId="47EDB1E6" w:rsidR="00AC046B" w:rsidRDefault="005C3B75" w:rsidP="00C74193">
      <w:pPr>
        <w:pStyle w:val="nomargin"/>
        <w:jc w:val="both"/>
        <w:rPr>
          <w:rStyle w:val="Strong"/>
          <w:b w:val="0"/>
          <w:lang w:val="es-ES"/>
        </w:rPr>
      </w:pPr>
      <w:r w:rsidRPr="00C37D9D">
        <w:rPr>
          <w:rStyle w:val="Strong"/>
          <w:bCs w:val="0"/>
          <w:lang w:val="es-ES"/>
        </w:rPr>
        <w:t>Resumen:</w:t>
      </w:r>
      <w:r>
        <w:rPr>
          <w:rStyle w:val="Strong"/>
          <w:b w:val="0"/>
          <w:lang w:val="es-ES"/>
        </w:rPr>
        <w:t xml:space="preserve"> </w:t>
      </w:r>
      <w:r w:rsidR="00320E5E">
        <w:rPr>
          <w:rStyle w:val="Strong"/>
          <w:b w:val="0"/>
          <w:lang w:val="es-ES"/>
        </w:rPr>
        <w:t>Esta comunicación analiza una muestra de juegos que tienen como objetivo la alfabetización informativa y la lucha contra la desinformación para</w:t>
      </w:r>
      <w:r w:rsidR="007C7F8B">
        <w:rPr>
          <w:rStyle w:val="Strong"/>
          <w:b w:val="0"/>
          <w:lang w:val="es-ES"/>
        </w:rPr>
        <w:t xml:space="preserve"> explorar la presencia de los principios teóricos de los efectos de los medios en dichos contenidos. </w:t>
      </w:r>
      <w:r w:rsidR="00C87667">
        <w:rPr>
          <w:rStyle w:val="Strong"/>
          <w:b w:val="0"/>
          <w:lang w:val="es-ES"/>
        </w:rPr>
        <w:t>Se parte de la convicción de que los principios teóricos de la comunicación pueden reforzar los objetivos educativos</w:t>
      </w:r>
      <w:r w:rsidR="00AC046B">
        <w:rPr>
          <w:rStyle w:val="Strong"/>
          <w:b w:val="0"/>
          <w:lang w:val="es-ES"/>
        </w:rPr>
        <w:t xml:space="preserve"> que estos juegos proponen, aunque sea de forma implícita (</w:t>
      </w:r>
      <w:proofErr w:type="spellStart"/>
      <w:r w:rsidR="00AC046B">
        <w:rPr>
          <w:rStyle w:val="Strong"/>
          <w:b w:val="0"/>
          <w:lang w:val="es-ES"/>
        </w:rPr>
        <w:t>Liang</w:t>
      </w:r>
      <w:proofErr w:type="spellEnd"/>
      <w:r w:rsidR="00AC046B">
        <w:rPr>
          <w:rStyle w:val="Strong"/>
          <w:b w:val="0"/>
          <w:lang w:val="es-ES"/>
        </w:rPr>
        <w:t xml:space="preserve"> y Grace, 2022).</w:t>
      </w:r>
    </w:p>
    <w:p w14:paraId="1C876FF9" w14:textId="7B91FF84" w:rsidR="00C74193" w:rsidRDefault="00F16CDF" w:rsidP="00C74193">
      <w:pPr>
        <w:pStyle w:val="nomargin"/>
        <w:jc w:val="both"/>
        <w:rPr>
          <w:rStyle w:val="Strong"/>
          <w:b w:val="0"/>
          <w:lang w:val="es-ES"/>
        </w:rPr>
      </w:pPr>
      <w:r>
        <w:rPr>
          <w:rStyle w:val="Strong"/>
          <w:b w:val="0"/>
          <w:lang w:val="es-ES"/>
        </w:rPr>
        <w:t>A partir de esta premisa s</w:t>
      </w:r>
      <w:r w:rsidR="009E0C6C" w:rsidRPr="00C74193">
        <w:rPr>
          <w:rStyle w:val="Strong"/>
          <w:b w:val="0"/>
          <w:lang w:val="es-ES"/>
        </w:rPr>
        <w:t xml:space="preserve">e han seleccionado </w:t>
      </w:r>
      <w:r w:rsidR="00C74193" w:rsidRPr="00C74193">
        <w:rPr>
          <w:rStyle w:val="Strong"/>
          <w:b w:val="0"/>
          <w:lang w:val="es-ES"/>
        </w:rPr>
        <w:t xml:space="preserve">algunos </w:t>
      </w:r>
      <w:r w:rsidR="009E0C6C" w:rsidRPr="00C74193">
        <w:rPr>
          <w:rStyle w:val="Strong"/>
          <w:b w:val="0"/>
          <w:lang w:val="es-ES"/>
        </w:rPr>
        <w:t>de los juegos más populares de esta temática (</w:t>
      </w:r>
      <w:proofErr w:type="spellStart"/>
      <w:proofErr w:type="gramStart"/>
      <w:r w:rsidR="009E0C6C" w:rsidRPr="00C74193">
        <w:rPr>
          <w:rStyle w:val="Strong"/>
          <w:b w:val="0"/>
          <w:i/>
          <w:iCs/>
          <w:lang w:val="es-ES"/>
        </w:rPr>
        <w:t>Get</w:t>
      </w:r>
      <w:proofErr w:type="spellEnd"/>
      <w:r w:rsidR="009E0C6C" w:rsidRPr="00C74193">
        <w:rPr>
          <w:rStyle w:val="Strong"/>
          <w:b w:val="0"/>
          <w:i/>
          <w:iCs/>
          <w:lang w:val="es-ES"/>
        </w:rPr>
        <w:t xml:space="preserve"> </w:t>
      </w:r>
      <w:proofErr w:type="spellStart"/>
      <w:r w:rsidR="009E0C6C" w:rsidRPr="00C74193">
        <w:rPr>
          <w:rStyle w:val="Strong"/>
          <w:b w:val="0"/>
          <w:i/>
          <w:iCs/>
          <w:lang w:val="es-ES"/>
        </w:rPr>
        <w:t>Bad</w:t>
      </w:r>
      <w:proofErr w:type="spellEnd"/>
      <w:r w:rsidR="009E0C6C" w:rsidRPr="00C74193">
        <w:rPr>
          <w:rStyle w:val="Strong"/>
          <w:b w:val="0"/>
          <w:i/>
          <w:iCs/>
          <w:lang w:val="es-ES"/>
        </w:rPr>
        <w:t xml:space="preserve"> News</w:t>
      </w:r>
      <w:r w:rsidR="009E0C6C" w:rsidRPr="00C74193">
        <w:rPr>
          <w:rStyle w:val="Strong"/>
          <w:b w:val="0"/>
          <w:lang w:val="es-ES"/>
        </w:rPr>
        <w:t xml:space="preserve">, </w:t>
      </w:r>
      <w:proofErr w:type="spellStart"/>
      <w:r w:rsidR="009E0C6C" w:rsidRPr="00C74193">
        <w:rPr>
          <w:rStyle w:val="Strong"/>
          <w:b w:val="0"/>
          <w:i/>
          <w:iCs/>
          <w:lang w:val="es-ES"/>
        </w:rPr>
        <w:t>Factitious</w:t>
      </w:r>
      <w:proofErr w:type="spellEnd"/>
      <w:r w:rsidR="009E0C6C" w:rsidRPr="00C74193">
        <w:rPr>
          <w:rStyle w:val="Strong"/>
          <w:b w:val="0"/>
          <w:lang w:val="es-ES"/>
        </w:rPr>
        <w:t xml:space="preserve">, </w:t>
      </w:r>
      <w:r w:rsidR="009E0C6C" w:rsidRPr="00C74193">
        <w:rPr>
          <w:rStyle w:val="Strong"/>
          <w:b w:val="0"/>
          <w:i/>
          <w:iCs/>
          <w:lang w:val="es-ES"/>
        </w:rPr>
        <w:t>Troll Factory</w:t>
      </w:r>
      <w:r w:rsidR="009E0C6C" w:rsidRPr="00C74193">
        <w:rPr>
          <w:rStyle w:val="Strong"/>
          <w:b w:val="0"/>
          <w:lang w:val="es-ES"/>
        </w:rPr>
        <w:t xml:space="preserve">, </w:t>
      </w:r>
      <w:r w:rsidR="009E0C6C" w:rsidRPr="00C74193">
        <w:rPr>
          <w:rStyle w:val="Strong"/>
          <w:b w:val="0"/>
          <w:i/>
          <w:iCs/>
          <w:lang w:val="es-ES"/>
        </w:rPr>
        <w:t>Harmony Square</w:t>
      </w:r>
      <w:r w:rsidR="009E0C6C" w:rsidRPr="00C74193">
        <w:rPr>
          <w:rStyle w:val="Strong"/>
          <w:b w:val="0"/>
          <w:lang w:val="es-ES"/>
        </w:rPr>
        <w:t xml:space="preserve">, </w:t>
      </w:r>
      <w:proofErr w:type="spellStart"/>
      <w:r w:rsidR="009E0C6C" w:rsidRPr="00C74193">
        <w:rPr>
          <w:rStyle w:val="Strong"/>
          <w:b w:val="0"/>
          <w:i/>
          <w:iCs/>
          <w:lang w:val="es-ES"/>
        </w:rPr>
        <w:t>Fake</w:t>
      </w:r>
      <w:proofErr w:type="spellEnd"/>
      <w:r w:rsidR="009E0C6C" w:rsidRPr="00C74193">
        <w:rPr>
          <w:rStyle w:val="Strong"/>
          <w:b w:val="0"/>
          <w:i/>
          <w:iCs/>
          <w:lang w:val="es-ES"/>
        </w:rPr>
        <w:t xml:space="preserve"> </w:t>
      </w:r>
      <w:proofErr w:type="spellStart"/>
      <w:r w:rsidR="009E0C6C" w:rsidRPr="00C74193">
        <w:rPr>
          <w:rStyle w:val="Strong"/>
          <w:b w:val="0"/>
          <w:i/>
          <w:iCs/>
          <w:lang w:val="es-ES"/>
        </w:rPr>
        <w:t>it</w:t>
      </w:r>
      <w:proofErr w:type="spellEnd"/>
      <w:r w:rsidR="009E0C6C" w:rsidRPr="00C74193">
        <w:rPr>
          <w:rStyle w:val="Strong"/>
          <w:b w:val="0"/>
          <w:i/>
          <w:iCs/>
          <w:lang w:val="es-ES"/>
        </w:rPr>
        <w:t xml:space="preserve"> </w:t>
      </w:r>
      <w:proofErr w:type="spellStart"/>
      <w:r w:rsidR="009E0C6C" w:rsidRPr="00C74193">
        <w:rPr>
          <w:rStyle w:val="Strong"/>
          <w:b w:val="0"/>
          <w:i/>
          <w:iCs/>
          <w:lang w:val="es-ES"/>
        </w:rPr>
        <w:t>to</w:t>
      </w:r>
      <w:proofErr w:type="spellEnd"/>
      <w:r w:rsidR="009E0C6C" w:rsidRPr="00C74193">
        <w:rPr>
          <w:rStyle w:val="Strong"/>
          <w:b w:val="0"/>
          <w:i/>
          <w:iCs/>
          <w:lang w:val="es-ES"/>
        </w:rPr>
        <w:t xml:space="preserve"> </w:t>
      </w:r>
      <w:proofErr w:type="spellStart"/>
      <w:r w:rsidR="009E0C6C" w:rsidRPr="00C74193">
        <w:rPr>
          <w:rStyle w:val="Strong"/>
          <w:b w:val="0"/>
          <w:i/>
          <w:iCs/>
          <w:lang w:val="es-ES"/>
        </w:rPr>
        <w:t>Make</w:t>
      </w:r>
      <w:proofErr w:type="spellEnd"/>
      <w:r w:rsidR="009E0C6C" w:rsidRPr="00C74193">
        <w:rPr>
          <w:rStyle w:val="Strong"/>
          <w:b w:val="0"/>
          <w:i/>
          <w:iCs/>
          <w:lang w:val="es-ES"/>
        </w:rPr>
        <w:t xml:space="preserve"> </w:t>
      </w:r>
      <w:proofErr w:type="spellStart"/>
      <w:r w:rsidR="009E0C6C" w:rsidRPr="00C74193">
        <w:rPr>
          <w:rStyle w:val="Strong"/>
          <w:b w:val="0"/>
          <w:i/>
          <w:iCs/>
          <w:lang w:val="es-ES"/>
        </w:rPr>
        <w:t>it</w:t>
      </w:r>
      <w:proofErr w:type="spellEnd"/>
      <w:r w:rsidR="009E0C6C" w:rsidRPr="00C74193">
        <w:rPr>
          <w:rStyle w:val="Strong"/>
          <w:b w:val="0"/>
          <w:lang w:val="es-ES"/>
        </w:rPr>
        <w:t xml:space="preserve">, </w:t>
      </w:r>
      <w:proofErr w:type="spellStart"/>
      <w:r w:rsidR="009E0C6C" w:rsidRPr="00C74193">
        <w:rPr>
          <w:rStyle w:val="Strong"/>
          <w:b w:val="0"/>
          <w:i/>
          <w:iCs/>
          <w:lang w:val="es-ES"/>
        </w:rPr>
        <w:t>iReporter</w:t>
      </w:r>
      <w:proofErr w:type="spellEnd"/>
      <w:r w:rsidR="009E0C6C" w:rsidRPr="00C74193">
        <w:rPr>
          <w:rStyle w:val="Strong"/>
          <w:b w:val="0"/>
          <w:lang w:val="es-ES"/>
        </w:rPr>
        <w:t xml:space="preserve">, </w:t>
      </w:r>
      <w:proofErr w:type="spellStart"/>
      <w:r w:rsidR="009E0C6C" w:rsidRPr="00C74193">
        <w:rPr>
          <w:rStyle w:val="Strong"/>
          <w:b w:val="0"/>
          <w:i/>
          <w:iCs/>
          <w:lang w:val="es-ES"/>
        </w:rPr>
        <w:t>Go</w:t>
      </w:r>
      <w:proofErr w:type="spellEnd"/>
      <w:r w:rsidR="009E0C6C" w:rsidRPr="00C74193">
        <w:rPr>
          <w:rStyle w:val="Strong"/>
          <w:b w:val="0"/>
          <w:i/>
          <w:iCs/>
          <w:lang w:val="es-ES"/>
        </w:rPr>
        <w:t xml:space="preserve"> Viral!</w:t>
      </w:r>
      <w:proofErr w:type="gramEnd"/>
      <w:r w:rsidR="009E0C6C" w:rsidRPr="00C74193">
        <w:rPr>
          <w:rStyle w:val="Strong"/>
          <w:b w:val="0"/>
          <w:lang w:val="es-ES"/>
        </w:rPr>
        <w:t xml:space="preserve">, </w:t>
      </w:r>
      <w:proofErr w:type="spellStart"/>
      <w:r w:rsidR="009E0C6C" w:rsidRPr="00C74193">
        <w:rPr>
          <w:rStyle w:val="Strong"/>
          <w:b w:val="0"/>
          <w:i/>
          <w:iCs/>
          <w:lang w:val="es-ES"/>
        </w:rPr>
        <w:t>The</w:t>
      </w:r>
      <w:proofErr w:type="spellEnd"/>
      <w:r w:rsidR="009E0C6C" w:rsidRPr="00C74193">
        <w:rPr>
          <w:rStyle w:val="Strong"/>
          <w:b w:val="0"/>
          <w:i/>
          <w:iCs/>
          <w:lang w:val="es-ES"/>
        </w:rPr>
        <w:t xml:space="preserve"> </w:t>
      </w:r>
      <w:proofErr w:type="spellStart"/>
      <w:r w:rsidR="009E0C6C" w:rsidRPr="00C74193">
        <w:rPr>
          <w:rStyle w:val="Strong"/>
          <w:b w:val="0"/>
          <w:i/>
          <w:iCs/>
          <w:lang w:val="es-ES"/>
        </w:rPr>
        <w:t>Fake</w:t>
      </w:r>
      <w:proofErr w:type="spellEnd"/>
      <w:r w:rsidR="009E0C6C" w:rsidRPr="00C74193">
        <w:rPr>
          <w:rStyle w:val="Strong"/>
          <w:b w:val="0"/>
          <w:i/>
          <w:iCs/>
          <w:lang w:val="es-ES"/>
        </w:rPr>
        <w:t xml:space="preserve"> News </w:t>
      </w:r>
      <w:proofErr w:type="spellStart"/>
      <w:r w:rsidR="009E0C6C" w:rsidRPr="00C74193">
        <w:rPr>
          <w:rStyle w:val="Strong"/>
          <w:b w:val="0"/>
          <w:i/>
          <w:iCs/>
          <w:lang w:val="es-ES"/>
        </w:rPr>
        <w:t>Game</w:t>
      </w:r>
      <w:proofErr w:type="spellEnd"/>
      <w:r w:rsidR="00C74193" w:rsidRPr="00C74193">
        <w:rPr>
          <w:rStyle w:val="Strong"/>
          <w:b w:val="0"/>
          <w:lang w:val="es-ES"/>
        </w:rPr>
        <w:t xml:space="preserve"> o</w:t>
      </w:r>
      <w:r w:rsidR="009E0C6C" w:rsidRPr="00C74193">
        <w:rPr>
          <w:rStyle w:val="Strong"/>
          <w:b w:val="0"/>
          <w:i/>
          <w:iCs/>
          <w:lang w:val="es-ES"/>
        </w:rPr>
        <w:t xml:space="preserve"> Spot </w:t>
      </w:r>
      <w:proofErr w:type="spellStart"/>
      <w:r w:rsidR="009E0C6C" w:rsidRPr="00C74193">
        <w:rPr>
          <w:rStyle w:val="Strong"/>
          <w:b w:val="0"/>
          <w:i/>
          <w:iCs/>
          <w:lang w:val="es-ES"/>
        </w:rPr>
        <w:t>the</w:t>
      </w:r>
      <w:proofErr w:type="spellEnd"/>
      <w:r w:rsidR="009E0C6C" w:rsidRPr="00C74193">
        <w:rPr>
          <w:rStyle w:val="Strong"/>
          <w:b w:val="0"/>
          <w:i/>
          <w:iCs/>
          <w:lang w:val="es-ES"/>
        </w:rPr>
        <w:t xml:space="preserve"> troll</w:t>
      </w:r>
      <w:r w:rsidR="00C74193" w:rsidRPr="00C74193">
        <w:rPr>
          <w:rStyle w:val="Strong"/>
          <w:b w:val="0"/>
          <w:lang w:val="es-ES"/>
        </w:rPr>
        <w:t xml:space="preserve">) y se </w:t>
      </w:r>
      <w:r w:rsidR="00C74193">
        <w:rPr>
          <w:rStyle w:val="Strong"/>
          <w:b w:val="0"/>
          <w:lang w:val="es-ES"/>
        </w:rPr>
        <w:t>ha desarrollado un análisis de sus elementos narrativos y formales para localizar la presencia e intensidad de teorías de los efectos de los medios (</w:t>
      </w:r>
      <w:proofErr w:type="spellStart"/>
      <w:r>
        <w:rPr>
          <w:rStyle w:val="Strong"/>
          <w:b w:val="0"/>
          <w:lang w:val="es-ES"/>
        </w:rPr>
        <w:t>McQuail</w:t>
      </w:r>
      <w:proofErr w:type="spellEnd"/>
      <w:r>
        <w:rPr>
          <w:rStyle w:val="Strong"/>
          <w:b w:val="0"/>
          <w:lang w:val="es-ES"/>
        </w:rPr>
        <w:t xml:space="preserve"> y </w:t>
      </w:r>
      <w:proofErr w:type="spellStart"/>
      <w:r>
        <w:rPr>
          <w:rStyle w:val="Strong"/>
          <w:b w:val="0"/>
          <w:lang w:val="es-ES"/>
        </w:rPr>
        <w:t>Deuze</w:t>
      </w:r>
      <w:proofErr w:type="spellEnd"/>
      <w:r>
        <w:rPr>
          <w:rStyle w:val="Strong"/>
          <w:b w:val="0"/>
          <w:lang w:val="es-ES"/>
        </w:rPr>
        <w:t xml:space="preserve">, 2021; </w:t>
      </w:r>
      <w:proofErr w:type="spellStart"/>
      <w:r w:rsidR="00C74193">
        <w:rPr>
          <w:rStyle w:val="Strong"/>
          <w:b w:val="0"/>
          <w:lang w:val="es-ES"/>
        </w:rPr>
        <w:t>Rössler</w:t>
      </w:r>
      <w:proofErr w:type="spellEnd"/>
      <w:r w:rsidR="00C74193">
        <w:rPr>
          <w:rStyle w:val="Strong"/>
          <w:b w:val="0"/>
          <w:lang w:val="es-ES"/>
        </w:rPr>
        <w:t xml:space="preserve">, </w:t>
      </w:r>
      <w:proofErr w:type="spellStart"/>
      <w:r w:rsidR="00C74193">
        <w:rPr>
          <w:rStyle w:val="Strong"/>
          <w:b w:val="0"/>
          <w:lang w:val="es-ES"/>
        </w:rPr>
        <w:t>Hoffner</w:t>
      </w:r>
      <w:proofErr w:type="spellEnd"/>
      <w:r w:rsidR="00C74193">
        <w:rPr>
          <w:rStyle w:val="Strong"/>
          <w:b w:val="0"/>
          <w:lang w:val="es-ES"/>
        </w:rPr>
        <w:t xml:space="preserve"> y </w:t>
      </w:r>
      <w:proofErr w:type="spellStart"/>
      <w:r w:rsidR="00C74193">
        <w:rPr>
          <w:rStyle w:val="Strong"/>
          <w:b w:val="0"/>
          <w:lang w:val="es-ES"/>
        </w:rPr>
        <w:t>Zoonen</w:t>
      </w:r>
      <w:proofErr w:type="spellEnd"/>
      <w:r w:rsidR="00C87667">
        <w:rPr>
          <w:rStyle w:val="Strong"/>
          <w:b w:val="0"/>
          <w:lang w:val="es-ES"/>
        </w:rPr>
        <w:t>, 2017</w:t>
      </w:r>
      <w:r w:rsidR="00C74193">
        <w:rPr>
          <w:rStyle w:val="Strong"/>
          <w:b w:val="0"/>
          <w:lang w:val="es-ES"/>
        </w:rPr>
        <w:t>).</w:t>
      </w:r>
    </w:p>
    <w:p w14:paraId="2497A2D5" w14:textId="1FA6F323" w:rsidR="00C87667" w:rsidRDefault="00540BAA" w:rsidP="00C74193">
      <w:pPr>
        <w:pStyle w:val="nomargin"/>
        <w:jc w:val="both"/>
        <w:rPr>
          <w:rStyle w:val="Strong"/>
          <w:b w:val="0"/>
          <w:lang w:val="es-ES"/>
        </w:rPr>
      </w:pPr>
      <w:r>
        <w:rPr>
          <w:rStyle w:val="Strong"/>
          <w:b w:val="0"/>
          <w:lang w:val="es-ES"/>
        </w:rPr>
        <w:t xml:space="preserve">De este modo, se ha detectado </w:t>
      </w:r>
      <w:r w:rsidR="00C87667">
        <w:rPr>
          <w:rStyle w:val="Strong"/>
          <w:b w:val="0"/>
          <w:lang w:val="es-ES"/>
        </w:rPr>
        <w:t xml:space="preserve">la </w:t>
      </w:r>
      <w:r w:rsidR="00F16CDF">
        <w:rPr>
          <w:rStyle w:val="Strong"/>
          <w:b w:val="0"/>
          <w:lang w:val="es-ES"/>
        </w:rPr>
        <w:t>presencia</w:t>
      </w:r>
      <w:r w:rsidR="00C37D9D">
        <w:rPr>
          <w:rStyle w:val="Strong"/>
          <w:b w:val="0"/>
          <w:lang w:val="es-ES"/>
        </w:rPr>
        <w:t xml:space="preserve"> </w:t>
      </w:r>
      <w:r w:rsidR="00F16CDF">
        <w:rPr>
          <w:rStyle w:val="Strong"/>
          <w:b w:val="0"/>
          <w:lang w:val="es-ES"/>
        </w:rPr>
        <w:t>de teorías como la de la inoculación (McGuire, 1961) para combatir el contagio de la desinformación</w:t>
      </w:r>
      <w:r w:rsidR="00540BBC">
        <w:rPr>
          <w:rStyle w:val="Strong"/>
          <w:b w:val="0"/>
          <w:lang w:val="es-ES"/>
        </w:rPr>
        <w:t xml:space="preserve">, </w:t>
      </w:r>
      <w:r w:rsidR="00F16CDF">
        <w:rPr>
          <w:rStyle w:val="Strong"/>
          <w:b w:val="0"/>
          <w:lang w:val="es-ES"/>
        </w:rPr>
        <w:t xml:space="preserve">teorías de la </w:t>
      </w:r>
      <w:r w:rsidR="00540BBC">
        <w:rPr>
          <w:rStyle w:val="Strong"/>
          <w:b w:val="0"/>
          <w:lang w:val="es-ES"/>
        </w:rPr>
        <w:t>transferencia</w:t>
      </w:r>
      <w:r w:rsidR="00F16CDF">
        <w:rPr>
          <w:rStyle w:val="Strong"/>
          <w:b w:val="0"/>
          <w:lang w:val="es-ES"/>
        </w:rPr>
        <w:t xml:space="preserve"> </w:t>
      </w:r>
      <w:r w:rsidR="00540BBC">
        <w:rPr>
          <w:rStyle w:val="Strong"/>
          <w:b w:val="0"/>
          <w:lang w:val="es-ES"/>
        </w:rPr>
        <w:t>emocional (</w:t>
      </w:r>
      <w:proofErr w:type="spellStart"/>
      <w:r w:rsidR="00E9582A">
        <w:rPr>
          <w:rStyle w:val="Strong"/>
          <w:b w:val="0"/>
          <w:lang w:val="es-ES"/>
        </w:rPr>
        <w:t>Zillman</w:t>
      </w:r>
      <w:proofErr w:type="spellEnd"/>
      <w:r w:rsidR="00E9582A">
        <w:rPr>
          <w:rStyle w:val="Strong"/>
          <w:b w:val="0"/>
          <w:lang w:val="es-ES"/>
        </w:rPr>
        <w:t>, 2008</w:t>
      </w:r>
      <w:r w:rsidR="00540BBC">
        <w:rPr>
          <w:rStyle w:val="Strong"/>
          <w:b w:val="0"/>
          <w:lang w:val="es-ES"/>
        </w:rPr>
        <w:t xml:space="preserve">) o estrategias de </w:t>
      </w:r>
      <w:proofErr w:type="spellStart"/>
      <w:r w:rsidR="00540BBC" w:rsidRPr="00E9582A">
        <w:rPr>
          <w:rStyle w:val="Strong"/>
          <w:b w:val="0"/>
          <w:i/>
          <w:iCs/>
          <w:lang w:val="es-ES"/>
        </w:rPr>
        <w:t>prebunking</w:t>
      </w:r>
      <w:proofErr w:type="spellEnd"/>
      <w:r w:rsidR="00540BBC">
        <w:rPr>
          <w:rStyle w:val="Strong"/>
          <w:b w:val="0"/>
          <w:lang w:val="es-ES"/>
        </w:rPr>
        <w:t xml:space="preserve"> (Quevedo, Navarro y Gómez, 2022). Este análisis detecta tanto la presencia de estos principios teóricos como el grado de su implementación e intensidad</w:t>
      </w:r>
      <w:r w:rsidR="00C37D9D">
        <w:rPr>
          <w:rStyle w:val="Strong"/>
          <w:b w:val="0"/>
          <w:lang w:val="es-ES"/>
        </w:rPr>
        <w:t xml:space="preserve"> en la muestra de análisis</w:t>
      </w:r>
      <w:r w:rsidR="00540BBC">
        <w:rPr>
          <w:rStyle w:val="Strong"/>
          <w:b w:val="0"/>
          <w:lang w:val="es-ES"/>
        </w:rPr>
        <w:t xml:space="preserve">. Los resultados de esta investigación ofrecen claves de interés sobre cómo los marcos teóricos se </w:t>
      </w:r>
      <w:r w:rsidR="00E9582A">
        <w:rPr>
          <w:rStyle w:val="Strong"/>
          <w:b w:val="0"/>
          <w:lang w:val="es-ES"/>
        </w:rPr>
        <w:t xml:space="preserve">pueden </w:t>
      </w:r>
      <w:r w:rsidR="00540BBC">
        <w:rPr>
          <w:rStyle w:val="Strong"/>
          <w:b w:val="0"/>
          <w:lang w:val="es-ES"/>
        </w:rPr>
        <w:t>implementa</w:t>
      </w:r>
      <w:r w:rsidR="00E9582A">
        <w:rPr>
          <w:rStyle w:val="Strong"/>
          <w:b w:val="0"/>
          <w:lang w:val="es-ES"/>
        </w:rPr>
        <w:t>r</w:t>
      </w:r>
      <w:r w:rsidR="00540BBC">
        <w:rPr>
          <w:rStyle w:val="Strong"/>
          <w:b w:val="0"/>
          <w:lang w:val="es-ES"/>
        </w:rPr>
        <w:t xml:space="preserve"> en el diseño de los contenidos </w:t>
      </w:r>
      <w:proofErr w:type="spellStart"/>
      <w:r w:rsidR="00540BBC">
        <w:rPr>
          <w:rStyle w:val="Strong"/>
          <w:b w:val="0"/>
          <w:lang w:val="es-ES"/>
        </w:rPr>
        <w:t>ludonarrativos</w:t>
      </w:r>
      <w:proofErr w:type="spellEnd"/>
      <w:r w:rsidR="00540BBC">
        <w:rPr>
          <w:rStyle w:val="Strong"/>
          <w:b w:val="0"/>
          <w:lang w:val="es-ES"/>
        </w:rPr>
        <w:t xml:space="preserve"> de los juegos serios</w:t>
      </w:r>
      <w:r w:rsidR="005C3B75">
        <w:rPr>
          <w:rStyle w:val="Strong"/>
          <w:b w:val="0"/>
          <w:lang w:val="es-ES"/>
        </w:rPr>
        <w:t xml:space="preserve"> que combaten la desinformación</w:t>
      </w:r>
      <w:r w:rsidR="00540BBC">
        <w:rPr>
          <w:rStyle w:val="Strong"/>
          <w:b w:val="0"/>
          <w:lang w:val="es-ES"/>
        </w:rPr>
        <w:t xml:space="preserve">. </w:t>
      </w:r>
    </w:p>
    <w:p w14:paraId="75EB9E85" w14:textId="4C3690AA" w:rsidR="00C37D9D" w:rsidRDefault="00C37D9D" w:rsidP="00C37D9D">
      <w:pPr>
        <w:pStyle w:val="nomargin"/>
        <w:jc w:val="both"/>
        <w:rPr>
          <w:rStyle w:val="Strong"/>
          <w:b w:val="0"/>
          <w:lang w:val="es-ES"/>
        </w:rPr>
      </w:pPr>
      <w:r w:rsidRPr="00C37D9D">
        <w:rPr>
          <w:rStyle w:val="Strong"/>
          <w:b w:val="0"/>
          <w:lang w:val="es-ES"/>
        </w:rPr>
        <w:t>Esta investigación se localiza dentro del proyecto ‘</w:t>
      </w:r>
      <w:proofErr w:type="spellStart"/>
      <w:r w:rsidRPr="00C37D9D">
        <w:rPr>
          <w:rStyle w:val="Strong"/>
          <w:b w:val="0"/>
          <w:lang w:val="es-ES"/>
        </w:rPr>
        <w:t>Politainment</w:t>
      </w:r>
      <w:proofErr w:type="spellEnd"/>
      <w:r w:rsidRPr="00C37D9D">
        <w:rPr>
          <w:rStyle w:val="Strong"/>
          <w:b w:val="0"/>
          <w:lang w:val="es-ES"/>
        </w:rPr>
        <w:t>’ ante la fragmentación mediática: Desintermediación, ‘</w:t>
      </w:r>
      <w:proofErr w:type="spellStart"/>
      <w:r w:rsidRPr="00C37D9D">
        <w:rPr>
          <w:rStyle w:val="Strong"/>
          <w:b w:val="0"/>
          <w:lang w:val="es-ES"/>
        </w:rPr>
        <w:t>engagement</w:t>
      </w:r>
      <w:proofErr w:type="spellEnd"/>
      <w:r w:rsidRPr="00C37D9D">
        <w:rPr>
          <w:rStyle w:val="Strong"/>
          <w:b w:val="0"/>
          <w:lang w:val="es-ES"/>
        </w:rPr>
        <w:t xml:space="preserve">’ y polarización (PID2020-114193RB-I00), financiado por el Ministerio de Ciencia e Innovación, e IBERIFIER: </w:t>
      </w:r>
      <w:proofErr w:type="spellStart"/>
      <w:r w:rsidRPr="00C37D9D">
        <w:rPr>
          <w:rStyle w:val="Strong"/>
          <w:b w:val="0"/>
          <w:lang w:val="es-ES"/>
        </w:rPr>
        <w:t>Iberian</w:t>
      </w:r>
      <w:proofErr w:type="spellEnd"/>
      <w:r w:rsidRPr="00C37D9D">
        <w:rPr>
          <w:rStyle w:val="Strong"/>
          <w:b w:val="0"/>
          <w:lang w:val="es-ES"/>
        </w:rPr>
        <w:t xml:space="preserve"> Media </w:t>
      </w:r>
      <w:proofErr w:type="spellStart"/>
      <w:r w:rsidRPr="00C37D9D">
        <w:rPr>
          <w:rStyle w:val="Strong"/>
          <w:b w:val="0"/>
          <w:lang w:val="es-ES"/>
        </w:rPr>
        <w:t>Research</w:t>
      </w:r>
      <w:proofErr w:type="spellEnd"/>
      <w:r w:rsidRPr="00C37D9D">
        <w:rPr>
          <w:rStyle w:val="Strong"/>
          <w:b w:val="0"/>
          <w:lang w:val="es-ES"/>
        </w:rPr>
        <w:t xml:space="preserve"> &amp; </w:t>
      </w:r>
      <w:proofErr w:type="spellStart"/>
      <w:r w:rsidRPr="00C37D9D">
        <w:rPr>
          <w:rStyle w:val="Strong"/>
          <w:b w:val="0"/>
          <w:lang w:val="es-ES"/>
        </w:rPr>
        <w:t>Fact-Checking</w:t>
      </w:r>
      <w:proofErr w:type="spellEnd"/>
      <w:r w:rsidRPr="00C37D9D">
        <w:rPr>
          <w:rStyle w:val="Strong"/>
          <w:b w:val="0"/>
          <w:lang w:val="es-ES"/>
        </w:rPr>
        <w:t xml:space="preserve"> (2020-EU-IA-0252), financiado por la Comisión Europea.</w:t>
      </w:r>
    </w:p>
    <w:p w14:paraId="690572C0" w14:textId="77777777" w:rsidR="00E9582A" w:rsidRPr="00E9582A" w:rsidRDefault="00E9582A" w:rsidP="00AC046B">
      <w:pPr>
        <w:pStyle w:val="nomargin"/>
        <w:rPr>
          <w:rStyle w:val="Strong"/>
          <w:bCs w:val="0"/>
          <w:lang w:val="es-ES"/>
        </w:rPr>
      </w:pPr>
      <w:r w:rsidRPr="00E9582A">
        <w:rPr>
          <w:rStyle w:val="Strong"/>
          <w:bCs w:val="0"/>
          <w:lang w:val="es-ES"/>
        </w:rPr>
        <w:t>Referencias</w:t>
      </w:r>
    </w:p>
    <w:p w14:paraId="7744E640" w14:textId="77777777" w:rsidR="00CC5503" w:rsidRPr="00C37D9D" w:rsidRDefault="00CC5503" w:rsidP="005C3B75">
      <w:pPr>
        <w:pStyle w:val="nomargin"/>
        <w:spacing w:before="0" w:beforeAutospacing="0" w:after="0" w:afterAutospacing="0"/>
        <w:rPr>
          <w:lang w:val="en-US"/>
        </w:rPr>
      </w:pPr>
      <w:proofErr w:type="spellStart"/>
      <w:r>
        <w:rPr>
          <w:rStyle w:val="Strong"/>
          <w:b w:val="0"/>
          <w:lang w:val="es-ES"/>
        </w:rPr>
        <w:t>Liang</w:t>
      </w:r>
      <w:proofErr w:type="spellEnd"/>
      <w:r>
        <w:rPr>
          <w:rStyle w:val="Strong"/>
          <w:b w:val="0"/>
          <w:lang w:val="es-ES"/>
        </w:rPr>
        <w:t xml:space="preserve">, S. y Grace, L. (2022). </w:t>
      </w:r>
      <w:r w:rsidRPr="00AC046B">
        <w:rPr>
          <w:i/>
          <w:iCs/>
        </w:rPr>
        <w:t>Examining Misinformation and Disinformation Games: Dichotomies and Context</w:t>
      </w:r>
      <w:r w:rsidRPr="00AC046B">
        <w:rPr>
          <w:i/>
          <w:iCs/>
          <w:lang w:val="en-US"/>
        </w:rPr>
        <w:t xml:space="preserve">. </w:t>
      </w:r>
      <w:r w:rsidRPr="00C37D9D">
        <w:rPr>
          <w:lang w:val="en-US"/>
        </w:rPr>
        <w:t>DIGRA 2022: The 14th Digital Games Research Association Conference.</w:t>
      </w:r>
    </w:p>
    <w:p w14:paraId="294226E1" w14:textId="77777777" w:rsidR="00CC5503" w:rsidRDefault="00CC5503" w:rsidP="005C3B75">
      <w:r>
        <w:rPr>
          <w:rStyle w:val="hlfld-contribauthor"/>
        </w:rPr>
        <w:t xml:space="preserve">McGuire, </w:t>
      </w:r>
      <w:r>
        <w:rPr>
          <w:rStyle w:val="nlmgiven-names"/>
        </w:rPr>
        <w:t>W. J.</w:t>
      </w:r>
      <w:r>
        <w:t xml:space="preserve"> </w:t>
      </w:r>
      <w:r w:rsidRPr="00C37D9D">
        <w:rPr>
          <w:lang w:val="en-US"/>
        </w:rPr>
        <w:t>(</w:t>
      </w:r>
      <w:r>
        <w:rPr>
          <w:rStyle w:val="nlmyear"/>
        </w:rPr>
        <w:t>1961</w:t>
      </w:r>
      <w:r w:rsidRPr="00C37D9D">
        <w:rPr>
          <w:rStyle w:val="nlmyear"/>
          <w:lang w:val="en-US"/>
        </w:rPr>
        <w:t>)</w:t>
      </w:r>
      <w:r>
        <w:t xml:space="preserve">. </w:t>
      </w:r>
      <w:r>
        <w:rPr>
          <w:rStyle w:val="nlmarticle-title"/>
        </w:rPr>
        <w:t>The effectiveness of supportive and refutational defenses in immunizing and restoring beliefs against persuasion</w:t>
      </w:r>
      <w:r>
        <w:t xml:space="preserve">. </w:t>
      </w:r>
      <w:r>
        <w:rPr>
          <w:i/>
          <w:iCs/>
        </w:rPr>
        <w:t>Sociometry</w:t>
      </w:r>
      <w:r>
        <w:t xml:space="preserve">, 24: </w:t>
      </w:r>
      <w:r>
        <w:rPr>
          <w:rStyle w:val="nlmfpage"/>
        </w:rPr>
        <w:t>184</w:t>
      </w:r>
      <w:r>
        <w:t>–</w:t>
      </w:r>
      <w:r>
        <w:rPr>
          <w:rStyle w:val="nlmlpage"/>
        </w:rPr>
        <w:t>197</w:t>
      </w:r>
      <w:r>
        <w:t>.  </w:t>
      </w:r>
    </w:p>
    <w:p w14:paraId="69DA4DE4" w14:textId="77777777" w:rsidR="00CC5503" w:rsidRDefault="00CC5503" w:rsidP="005C3B75">
      <w:pPr>
        <w:pStyle w:val="nomargin"/>
        <w:spacing w:before="0" w:beforeAutospacing="0" w:after="0" w:afterAutospacing="0"/>
        <w:rPr>
          <w:rStyle w:val="Strong"/>
          <w:b w:val="0"/>
          <w:lang w:val="es-ES"/>
        </w:rPr>
      </w:pPr>
      <w:proofErr w:type="spellStart"/>
      <w:r w:rsidRPr="00C37D9D">
        <w:rPr>
          <w:rStyle w:val="Strong"/>
          <w:b w:val="0"/>
          <w:lang w:val="en-US"/>
        </w:rPr>
        <w:t>McQuail</w:t>
      </w:r>
      <w:proofErr w:type="spellEnd"/>
      <w:r w:rsidRPr="00C37D9D">
        <w:rPr>
          <w:rStyle w:val="Strong"/>
          <w:b w:val="0"/>
          <w:lang w:val="en-US"/>
        </w:rPr>
        <w:t xml:space="preserve">, D. y </w:t>
      </w:r>
      <w:proofErr w:type="spellStart"/>
      <w:r w:rsidRPr="00C37D9D">
        <w:rPr>
          <w:rStyle w:val="Strong"/>
          <w:b w:val="0"/>
          <w:lang w:val="en-US"/>
        </w:rPr>
        <w:t>Deuze</w:t>
      </w:r>
      <w:proofErr w:type="spellEnd"/>
      <w:r w:rsidRPr="00C37D9D">
        <w:rPr>
          <w:rStyle w:val="Strong"/>
          <w:b w:val="0"/>
          <w:lang w:val="en-US"/>
        </w:rPr>
        <w:t xml:space="preserve">, M. (2021). </w:t>
      </w:r>
      <w:proofErr w:type="spellStart"/>
      <w:r w:rsidRPr="00C37D9D">
        <w:rPr>
          <w:rStyle w:val="Strong"/>
          <w:b w:val="0"/>
          <w:i/>
          <w:iCs/>
          <w:lang w:val="en-US"/>
        </w:rPr>
        <w:t>McQuail’s</w:t>
      </w:r>
      <w:proofErr w:type="spellEnd"/>
      <w:r w:rsidRPr="00C37D9D">
        <w:rPr>
          <w:rStyle w:val="Strong"/>
          <w:b w:val="0"/>
          <w:i/>
          <w:iCs/>
          <w:lang w:val="en-US"/>
        </w:rPr>
        <w:t xml:space="preserve"> Media and Mass Communication Theory</w:t>
      </w:r>
      <w:r w:rsidRPr="00C37D9D">
        <w:rPr>
          <w:rStyle w:val="Strong"/>
          <w:b w:val="0"/>
          <w:lang w:val="en-US"/>
        </w:rPr>
        <w:t xml:space="preserve">. </w:t>
      </w:r>
      <w:r w:rsidRPr="00F16CDF">
        <w:rPr>
          <w:rStyle w:val="Strong"/>
          <w:b w:val="0"/>
          <w:lang w:val="es-ES"/>
        </w:rPr>
        <w:t xml:space="preserve">Sage </w:t>
      </w:r>
      <w:proofErr w:type="spellStart"/>
      <w:r w:rsidRPr="00F16CDF">
        <w:rPr>
          <w:rStyle w:val="Strong"/>
          <w:b w:val="0"/>
          <w:lang w:val="es-ES"/>
        </w:rPr>
        <w:t>Publications</w:t>
      </w:r>
      <w:proofErr w:type="spellEnd"/>
      <w:r w:rsidRPr="00F16CDF">
        <w:rPr>
          <w:rStyle w:val="Strong"/>
          <w:b w:val="0"/>
          <w:lang w:val="es-ES"/>
        </w:rPr>
        <w:t>.</w:t>
      </w:r>
    </w:p>
    <w:p w14:paraId="76EB20F5" w14:textId="77777777" w:rsidR="00CC5503" w:rsidRDefault="00CC5503" w:rsidP="005C3B75">
      <w:r>
        <w:rPr>
          <w:lang w:val="es-ES"/>
        </w:rPr>
        <w:t>Quevedo-Redondo</w:t>
      </w:r>
      <w:r>
        <w:t xml:space="preserve">, R.; </w:t>
      </w:r>
      <w:r>
        <w:rPr>
          <w:lang w:val="es-ES"/>
        </w:rPr>
        <w:t>Gómez-García</w:t>
      </w:r>
      <w:r>
        <w:t xml:space="preserve">, S. y </w:t>
      </w:r>
      <w:r>
        <w:rPr>
          <w:lang w:val="es-ES"/>
        </w:rPr>
        <w:t>Navarro-Sierra</w:t>
      </w:r>
      <w:r>
        <w:t xml:space="preserve">, N. (2022). Aprendiendo a desinformar: una estrategia de </w:t>
      </w:r>
      <w:r>
        <w:rPr>
          <w:rStyle w:val="italic"/>
        </w:rPr>
        <w:t>prebunking</w:t>
      </w:r>
      <w:r>
        <w:t xml:space="preserve"> con </w:t>
      </w:r>
      <w:r>
        <w:rPr>
          <w:rStyle w:val="italic"/>
        </w:rPr>
        <w:t>newsgames</w:t>
      </w:r>
      <w:r>
        <w:t xml:space="preserve"> para estimular la adquisición de competencias en el grado en Periodismo. </w:t>
      </w:r>
      <w:r w:rsidRPr="00E9582A">
        <w:rPr>
          <w:rStyle w:val="italic"/>
          <w:i/>
          <w:iCs/>
        </w:rPr>
        <w:t>Anàlisi: Quaderns de Comunicació i Cultura</w:t>
      </w:r>
      <w:r>
        <w:t>, 66, 95-112.</w:t>
      </w:r>
      <w:r>
        <w:rPr>
          <w:lang w:val="es-ES"/>
        </w:rPr>
        <w:t xml:space="preserve"> </w:t>
      </w:r>
      <w:hyperlink r:id="rId4" w:tgtFrame="_blank" w:history="1">
        <w:r>
          <w:rPr>
            <w:rStyle w:val="hyperurl"/>
            <w:color w:val="0000FF"/>
            <w:u w:val="single"/>
          </w:rPr>
          <w:t>https://doi.org/10.5565/rev/analisi.3447</w:t>
        </w:r>
      </w:hyperlink>
    </w:p>
    <w:p w14:paraId="355C3DE2" w14:textId="77777777" w:rsidR="00CC5503" w:rsidRPr="00320E5E" w:rsidRDefault="00CC5503" w:rsidP="005C3B75">
      <w:pPr>
        <w:pStyle w:val="nomargin"/>
        <w:spacing w:before="0" w:beforeAutospacing="0" w:after="0" w:afterAutospacing="0"/>
      </w:pPr>
      <w:r w:rsidRPr="00320E5E">
        <w:lastRenderedPageBreak/>
        <w:t>Rössler,</w:t>
      </w:r>
      <w:r w:rsidRPr="00E9582A">
        <w:rPr>
          <w:lang w:val="es-ES"/>
        </w:rPr>
        <w:t xml:space="preserve"> P.,</w:t>
      </w:r>
      <w:r w:rsidRPr="00320E5E">
        <w:t xml:space="preserve"> Hoffner</w:t>
      </w:r>
      <w:r w:rsidRPr="00E9582A">
        <w:rPr>
          <w:lang w:val="es-ES"/>
        </w:rPr>
        <w:t xml:space="preserve">, </w:t>
      </w:r>
      <w:r w:rsidRPr="00320E5E">
        <w:t>C.A.</w:t>
      </w:r>
      <w:r w:rsidRPr="00E9582A">
        <w:rPr>
          <w:lang w:val="es-ES"/>
        </w:rPr>
        <w:t>,</w:t>
      </w:r>
      <w:r w:rsidRPr="00320E5E">
        <w:t xml:space="preserve"> </w:t>
      </w:r>
      <w:r>
        <w:rPr>
          <w:lang w:val="es-ES"/>
        </w:rPr>
        <w:t xml:space="preserve">y </w:t>
      </w:r>
      <w:r w:rsidRPr="00320E5E">
        <w:t>Zoonen</w:t>
      </w:r>
      <w:r>
        <w:rPr>
          <w:lang w:val="es-ES"/>
        </w:rPr>
        <w:t>, L. (2017</w:t>
      </w:r>
      <w:r w:rsidRPr="00320E5E">
        <w:t>).</w:t>
      </w:r>
      <w:r>
        <w:rPr>
          <w:lang w:val="es-ES"/>
        </w:rPr>
        <w:t xml:space="preserve"> </w:t>
      </w:r>
      <w:r w:rsidRPr="00E9582A">
        <w:rPr>
          <w:i/>
          <w:iCs/>
          <w:lang w:val="en-US"/>
        </w:rPr>
        <w:t>The</w:t>
      </w:r>
      <w:r w:rsidRPr="00320E5E">
        <w:rPr>
          <w:i/>
          <w:iCs/>
        </w:rPr>
        <w:t xml:space="preserve"> International Encyclopedia of Media Effects</w:t>
      </w:r>
      <w:r w:rsidRPr="00E9582A">
        <w:rPr>
          <w:lang w:val="en-US"/>
        </w:rPr>
        <w:t>.</w:t>
      </w:r>
      <w:r>
        <w:rPr>
          <w:lang w:val="en-US"/>
        </w:rPr>
        <w:t xml:space="preserve"> Wiley´s Online Library.</w:t>
      </w:r>
    </w:p>
    <w:p w14:paraId="3B079B1B" w14:textId="1C9B7907" w:rsidR="00E9582A" w:rsidRPr="006260C4" w:rsidRDefault="00CC5503">
      <w:r>
        <w:t xml:space="preserve">Zillmann, D. (2008). Excitation Transfer Theory. In The International Encyclopedia of Communication, W. Donsbach (Ed.). </w:t>
      </w:r>
      <w:hyperlink r:id="rId5" w:history="1">
        <w:r>
          <w:rPr>
            <w:rStyle w:val="Hyperlink"/>
          </w:rPr>
          <w:t>https://doi.org/10.1002/9781405186407.wbiece049</w:t>
        </w:r>
      </w:hyperlink>
    </w:p>
    <w:sectPr w:rsidR="00E9582A" w:rsidRPr="0062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3A"/>
    <w:rsid w:val="00320E5E"/>
    <w:rsid w:val="00331641"/>
    <w:rsid w:val="00456F29"/>
    <w:rsid w:val="004C3887"/>
    <w:rsid w:val="00540BAA"/>
    <w:rsid w:val="00540BBC"/>
    <w:rsid w:val="005C3B75"/>
    <w:rsid w:val="006260C4"/>
    <w:rsid w:val="007C7F8B"/>
    <w:rsid w:val="00926475"/>
    <w:rsid w:val="009A4E22"/>
    <w:rsid w:val="009E0C6C"/>
    <w:rsid w:val="00A26B3A"/>
    <w:rsid w:val="00AC046B"/>
    <w:rsid w:val="00C37D9D"/>
    <w:rsid w:val="00C74193"/>
    <w:rsid w:val="00C87667"/>
    <w:rsid w:val="00CC376A"/>
    <w:rsid w:val="00CC5503"/>
    <w:rsid w:val="00D068CA"/>
    <w:rsid w:val="00E9582A"/>
    <w:rsid w:val="00F16CDF"/>
    <w:rsid w:val="00F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F630D0"/>
  <w15:chartTrackingRefBased/>
  <w15:docId w15:val="{D193538C-AFF4-3C43-83A6-547F0308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5E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16C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B3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7E0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D06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0C4"/>
    <w:rPr>
      <w:color w:val="954F72" w:themeColor="followedHyperlink"/>
      <w:u w:val="single"/>
    </w:rPr>
  </w:style>
  <w:style w:type="paragraph" w:customStyle="1" w:styleId="nomargin">
    <w:name w:val="nomargin"/>
    <w:basedOn w:val="Normal"/>
    <w:rsid w:val="006260C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60C4"/>
    <w:rPr>
      <w:b/>
      <w:bCs/>
    </w:rPr>
  </w:style>
  <w:style w:type="character" w:customStyle="1" w:styleId="hlfld-contribauthor">
    <w:name w:val="hlfld-contribauthor"/>
    <w:basedOn w:val="DefaultParagraphFont"/>
    <w:rsid w:val="00C87667"/>
  </w:style>
  <w:style w:type="character" w:customStyle="1" w:styleId="nlmgiven-names">
    <w:name w:val="nlm_given-names"/>
    <w:basedOn w:val="DefaultParagraphFont"/>
    <w:rsid w:val="00C87667"/>
  </w:style>
  <w:style w:type="character" w:customStyle="1" w:styleId="nlmyear">
    <w:name w:val="nlm_year"/>
    <w:basedOn w:val="DefaultParagraphFont"/>
    <w:rsid w:val="00C87667"/>
  </w:style>
  <w:style w:type="character" w:customStyle="1" w:styleId="nlmarticle-title">
    <w:name w:val="nlm_article-title"/>
    <w:basedOn w:val="DefaultParagraphFont"/>
    <w:rsid w:val="00C87667"/>
  </w:style>
  <w:style w:type="character" w:customStyle="1" w:styleId="nlmfpage">
    <w:name w:val="nlm_fpage"/>
    <w:basedOn w:val="DefaultParagraphFont"/>
    <w:rsid w:val="00C87667"/>
  </w:style>
  <w:style w:type="character" w:customStyle="1" w:styleId="nlmlpage">
    <w:name w:val="nlm_lpage"/>
    <w:basedOn w:val="DefaultParagraphFont"/>
    <w:rsid w:val="00C87667"/>
  </w:style>
  <w:style w:type="character" w:customStyle="1" w:styleId="Heading2Char">
    <w:name w:val="Heading 2 Char"/>
    <w:basedOn w:val="DefaultParagraphFont"/>
    <w:link w:val="Heading2"/>
    <w:uiPriority w:val="9"/>
    <w:rsid w:val="00F16C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versalitas-roman">
    <w:name w:val="versalitas-roman"/>
    <w:basedOn w:val="DefaultParagraphFont"/>
    <w:rsid w:val="00E9582A"/>
  </w:style>
  <w:style w:type="character" w:customStyle="1" w:styleId="italic">
    <w:name w:val="italic"/>
    <w:basedOn w:val="DefaultParagraphFont"/>
    <w:rsid w:val="00E9582A"/>
  </w:style>
  <w:style w:type="character" w:customStyle="1" w:styleId="hyperurl">
    <w:name w:val="hyperurl"/>
    <w:basedOn w:val="DefaultParagraphFont"/>
    <w:rsid w:val="00E9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02/9781405186407.wbiece049" TargetMode="External"/><Relationship Id="rId4" Type="http://schemas.openxmlformats.org/officeDocument/2006/relationships/hyperlink" Target="https://doi.org/10.5565/rev/analisi.3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Gómez</dc:creator>
  <cp:keywords/>
  <dc:description/>
  <cp:lastModifiedBy>Salvador Gómez</cp:lastModifiedBy>
  <cp:revision>3</cp:revision>
  <dcterms:created xsi:type="dcterms:W3CDTF">2022-07-11T21:56:00Z</dcterms:created>
  <dcterms:modified xsi:type="dcterms:W3CDTF">2022-07-12T07:01:00Z</dcterms:modified>
</cp:coreProperties>
</file>